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Nature of Science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Under what conditions do cells gain or lose water?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cell membrane permits some materials to pass through while keep</w:t>
      </w:r>
      <w:r>
        <w:rPr>
          <w:rFonts w:ascii="ArialMT" w:hAnsi="ArialMT" w:cs="ArialMT"/>
          <w:sz w:val="24"/>
          <w:szCs w:val="24"/>
        </w:rPr>
        <w:t xml:space="preserve">ing other materials out. Such a </w:t>
      </w:r>
      <w:r>
        <w:rPr>
          <w:rFonts w:ascii="ArialMT" w:hAnsi="ArialMT" w:cs="ArialMT"/>
          <w:sz w:val="24"/>
          <w:szCs w:val="24"/>
        </w:rPr>
        <w:t>membrane is called a selectively permeable membrane. Under norm</w:t>
      </w:r>
      <w:r>
        <w:rPr>
          <w:rFonts w:ascii="ArialMT" w:hAnsi="ArialMT" w:cs="ArialMT"/>
          <w:sz w:val="24"/>
          <w:szCs w:val="24"/>
        </w:rPr>
        <w:t xml:space="preserve">al conditions, water constantly </w:t>
      </w:r>
      <w:r>
        <w:rPr>
          <w:rFonts w:ascii="ArialMT" w:hAnsi="ArialMT" w:cs="ArialMT"/>
          <w:sz w:val="24"/>
          <w:szCs w:val="24"/>
        </w:rPr>
        <w:t xml:space="preserve">passes in and out of this membrane. This diffusion of water </w:t>
      </w:r>
      <w:r>
        <w:rPr>
          <w:rFonts w:ascii="ArialMT" w:hAnsi="ArialMT" w:cs="ArialMT"/>
          <w:sz w:val="24"/>
          <w:szCs w:val="24"/>
        </w:rPr>
        <w:t xml:space="preserve">through a selectively permeable </w:t>
      </w:r>
      <w:r>
        <w:rPr>
          <w:rFonts w:ascii="ArialMT" w:hAnsi="ArialMT" w:cs="ArialMT"/>
          <w:sz w:val="24"/>
          <w:szCs w:val="24"/>
        </w:rPr>
        <w:t>membrane is called osmosis. Like other substances, water diffuses fro</w:t>
      </w:r>
      <w:r>
        <w:rPr>
          <w:rFonts w:ascii="ArialMT" w:hAnsi="ArialMT" w:cs="ArialMT"/>
          <w:sz w:val="24"/>
          <w:szCs w:val="24"/>
        </w:rPr>
        <w:t xml:space="preserve">m a region of higher </w:t>
      </w:r>
      <w:r>
        <w:rPr>
          <w:rFonts w:ascii="ArialMT" w:hAnsi="ArialMT" w:cs="ArialMT"/>
          <w:sz w:val="24"/>
          <w:szCs w:val="24"/>
        </w:rPr>
        <w:t>concentration to a region of lower concentration. When the transfer o</w:t>
      </w:r>
      <w:r>
        <w:rPr>
          <w:rFonts w:ascii="ArialMT" w:hAnsi="ArialMT" w:cs="ArialMT"/>
          <w:sz w:val="24"/>
          <w:szCs w:val="24"/>
        </w:rPr>
        <w:t xml:space="preserve">f water molecules in and out of </w:t>
      </w:r>
      <w:r>
        <w:rPr>
          <w:rFonts w:ascii="ArialMT" w:hAnsi="ArialMT" w:cs="ArialMT"/>
          <w:sz w:val="24"/>
          <w:szCs w:val="24"/>
        </w:rPr>
        <w:t>a cell reaches the same rate, a state of equilibrium is reached.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the concentration of water molecules is greater outside a cell, then t</w:t>
      </w:r>
      <w:r>
        <w:rPr>
          <w:rFonts w:ascii="ArialMT" w:hAnsi="ArialMT" w:cs="ArialMT"/>
          <w:sz w:val="24"/>
          <w:szCs w:val="24"/>
        </w:rPr>
        <w:t xml:space="preserve">he solution is hypotonic to the </w:t>
      </w:r>
      <w:r>
        <w:rPr>
          <w:rFonts w:ascii="ArialMT" w:hAnsi="ArialMT" w:cs="ArialMT"/>
          <w:sz w:val="24"/>
          <w:szCs w:val="24"/>
        </w:rPr>
        <w:t xml:space="preserve">cell. Water will move into the cell by osmosis. The pressure against </w:t>
      </w:r>
      <w:r>
        <w:rPr>
          <w:rFonts w:ascii="ArialMT" w:hAnsi="ArialMT" w:cs="ArialMT"/>
          <w:sz w:val="24"/>
          <w:szCs w:val="24"/>
        </w:rPr>
        <w:t xml:space="preserve">the inside of the cell membrane </w:t>
      </w:r>
      <w:r>
        <w:rPr>
          <w:rFonts w:ascii="ArialMT" w:hAnsi="ArialMT" w:cs="ArialMT"/>
          <w:sz w:val="24"/>
          <w:szCs w:val="24"/>
        </w:rPr>
        <w:t>will steadily increase. If the pressure becomes great enough, the cell membrane will burst.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solution is isotonic to the inside of the cell when there is </w:t>
      </w:r>
      <w:r>
        <w:rPr>
          <w:rFonts w:ascii="ArialMT" w:hAnsi="ArialMT" w:cs="ArialMT"/>
          <w:sz w:val="24"/>
          <w:szCs w:val="24"/>
        </w:rPr>
        <w:t xml:space="preserve">the same concentration of water </w:t>
      </w:r>
      <w:r>
        <w:rPr>
          <w:rFonts w:ascii="ArialMT" w:hAnsi="ArialMT" w:cs="ArialMT"/>
          <w:sz w:val="24"/>
          <w:szCs w:val="24"/>
        </w:rPr>
        <w:t>molecules on the inside and outside of the cell membrane.</w:t>
      </w:r>
      <w:r>
        <w:rPr>
          <w:rFonts w:ascii="ArialMT" w:hAnsi="ArialMT" w:cs="ArialMT"/>
          <w:sz w:val="24"/>
          <w:szCs w:val="24"/>
        </w:rPr>
        <w:t xml:space="preserve"> To maintain equilibrium, water </w:t>
      </w:r>
      <w:r>
        <w:rPr>
          <w:rFonts w:ascii="ArialMT" w:hAnsi="ArialMT" w:cs="ArialMT"/>
          <w:sz w:val="24"/>
          <w:szCs w:val="24"/>
        </w:rPr>
        <w:t>molecules move into and out of the cell at the same rate.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Suppose a living cell is placed in a solution that has a higher salt c</w:t>
      </w:r>
      <w:r>
        <w:rPr>
          <w:rFonts w:ascii="ArialMT" w:hAnsi="ArialMT" w:cs="ArialMT"/>
          <w:sz w:val="24"/>
          <w:szCs w:val="24"/>
        </w:rPr>
        <w:t xml:space="preserve">oncentration than the cell has.  </w:t>
      </w:r>
      <w:r>
        <w:rPr>
          <w:rFonts w:ascii="ArialMT" w:hAnsi="ArialMT" w:cs="ArialMT"/>
          <w:sz w:val="24"/>
          <w:szCs w:val="24"/>
        </w:rPr>
        <w:t>Such a solution is hypertonic to the cell, because there are</w:t>
      </w:r>
      <w:r>
        <w:rPr>
          <w:rFonts w:ascii="ArialMT" w:hAnsi="ArialMT" w:cs="ArialMT"/>
          <w:sz w:val="24"/>
          <w:szCs w:val="24"/>
        </w:rPr>
        <w:t xml:space="preserve"> more salt ions and fewer water </w:t>
      </w:r>
      <w:r>
        <w:rPr>
          <w:rFonts w:ascii="ArialMT" w:hAnsi="ArialMT" w:cs="ArialMT"/>
          <w:sz w:val="24"/>
          <w:szCs w:val="24"/>
        </w:rPr>
        <w:t>molecules per unit volume outside the cell than inside. Water will</w:t>
      </w:r>
      <w:r>
        <w:rPr>
          <w:rFonts w:ascii="ArialMT" w:hAnsi="ArialMT" w:cs="ArialMT"/>
          <w:sz w:val="24"/>
          <w:szCs w:val="24"/>
        </w:rPr>
        <w:t xml:space="preserve"> move from the region of higher </w:t>
      </w:r>
      <w:r>
        <w:rPr>
          <w:rFonts w:ascii="ArialMT" w:hAnsi="ArialMT" w:cs="ArialMT"/>
          <w:sz w:val="24"/>
          <w:szCs w:val="24"/>
        </w:rPr>
        <w:t>water concentration (inside the cell) to the region of lower water concen</w:t>
      </w:r>
      <w:r>
        <w:rPr>
          <w:rFonts w:ascii="ArialMT" w:hAnsi="ArialMT" w:cs="ArialMT"/>
          <w:sz w:val="24"/>
          <w:szCs w:val="24"/>
        </w:rPr>
        <w:t xml:space="preserve">tration (outside the cell). The </w:t>
      </w:r>
      <w:r>
        <w:rPr>
          <w:rFonts w:ascii="ArialMT" w:hAnsi="ArialMT" w:cs="ArialMT"/>
          <w:sz w:val="24"/>
          <w:szCs w:val="24"/>
        </w:rPr>
        <w:t>selectively permeable membrane does not allow salt ions to pass int</w:t>
      </w:r>
      <w:r>
        <w:rPr>
          <w:rFonts w:ascii="ArialMT" w:hAnsi="ArialMT" w:cs="ArialMT"/>
          <w:sz w:val="24"/>
          <w:szCs w:val="24"/>
        </w:rPr>
        <w:t xml:space="preserve">o the cell. The cell shrinks as </w:t>
      </w:r>
      <w:r>
        <w:rPr>
          <w:rFonts w:ascii="ArialMT" w:hAnsi="ArialMT" w:cs="ArialMT"/>
          <w:sz w:val="24"/>
          <w:szCs w:val="24"/>
        </w:rPr>
        <w:t>the cell loses water.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this Virtual Lab you will place a red blood cell, an Elodea cell,</w:t>
      </w:r>
      <w:r>
        <w:rPr>
          <w:rFonts w:ascii="ArialMT" w:hAnsi="ArialMT" w:cs="ArialMT"/>
          <w:sz w:val="24"/>
          <w:szCs w:val="24"/>
        </w:rPr>
        <w:t xml:space="preserve"> and a Paramecium in hypotonic, </w:t>
      </w:r>
      <w:r>
        <w:rPr>
          <w:rFonts w:ascii="ArialMT" w:hAnsi="ArialMT" w:cs="ArialMT"/>
          <w:sz w:val="24"/>
          <w:szCs w:val="24"/>
        </w:rPr>
        <w:t>isotonic, and hypertonic solutions. You will examine how and why th</w:t>
      </w:r>
      <w:r>
        <w:rPr>
          <w:rFonts w:ascii="ArialMT" w:hAnsi="ArialMT" w:cs="ArialMT"/>
          <w:sz w:val="24"/>
          <w:szCs w:val="24"/>
        </w:rPr>
        <w:t xml:space="preserve">ese cells gain or lose water in </w:t>
      </w:r>
      <w:r>
        <w:rPr>
          <w:rFonts w:ascii="ArialMT" w:hAnsi="ArialMT" w:cs="ArialMT"/>
          <w:sz w:val="24"/>
          <w:szCs w:val="24"/>
        </w:rPr>
        <w:t>the different solutions.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Objectives:</w:t>
      </w:r>
    </w:p>
    <w:p w:rsidR="00ED38D6" w:rsidRPr="00ED38D6" w:rsidRDefault="00ED38D6" w:rsidP="00ED3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D38D6">
        <w:rPr>
          <w:rFonts w:ascii="ArialMT" w:hAnsi="ArialMT" w:cs="ArialMT"/>
          <w:sz w:val="24"/>
          <w:szCs w:val="24"/>
        </w:rPr>
        <w:t>·Describe the process of osmosis.</w:t>
      </w:r>
    </w:p>
    <w:p w:rsidR="00ED38D6" w:rsidRPr="00ED38D6" w:rsidRDefault="00ED38D6" w:rsidP="00ED3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D38D6">
        <w:rPr>
          <w:rFonts w:ascii="ArialMT" w:hAnsi="ArialMT" w:cs="ArialMT"/>
          <w:sz w:val="24"/>
          <w:szCs w:val="24"/>
        </w:rPr>
        <w:t>·Observe the movement of water through cell membranes during the process of osmosis.</w:t>
      </w:r>
    </w:p>
    <w:p w:rsidR="00ED38D6" w:rsidRPr="00ED38D6" w:rsidRDefault="00ED38D6" w:rsidP="00ED3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D38D6">
        <w:rPr>
          <w:rFonts w:ascii="ArialMT" w:hAnsi="ArialMT" w:cs="ArialMT"/>
          <w:sz w:val="24"/>
          <w:szCs w:val="24"/>
        </w:rPr>
        <w:t>·Compare and contrast three osmotic states: hypotonic, isotonic, and hypertonic.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Procedure:</w:t>
      </w:r>
      <w:r>
        <w:rPr>
          <w:rFonts w:ascii="ArialMT" w:hAnsi="ArialMT" w:cs="ArialMT"/>
          <w:sz w:val="24"/>
          <w:szCs w:val="24"/>
        </w:rPr>
        <w:t xml:space="preserve">  FIRST – prepare a data table like the one shown below….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Select one of the three cells pictured at the top of the screen and drag it into one of the beakers.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Observe the process of osmosis. Determine whether wate</w:t>
      </w:r>
      <w:r>
        <w:rPr>
          <w:rFonts w:ascii="ArialMT" w:hAnsi="ArialMT" w:cs="ArialMT"/>
          <w:sz w:val="24"/>
          <w:szCs w:val="24"/>
        </w:rPr>
        <w:t xml:space="preserve">r, represented by animated blue </w:t>
      </w:r>
      <w:r>
        <w:rPr>
          <w:rFonts w:ascii="ArialMT" w:hAnsi="ArialMT" w:cs="ArialMT"/>
          <w:sz w:val="24"/>
          <w:szCs w:val="24"/>
        </w:rPr>
        <w:t>arrows, moves into, stays in equilibrium, or moves out of the ce</w:t>
      </w:r>
      <w:r>
        <w:rPr>
          <w:rFonts w:ascii="ArialMT" w:hAnsi="ArialMT" w:cs="ArialMT"/>
          <w:sz w:val="24"/>
          <w:szCs w:val="24"/>
        </w:rPr>
        <w:t xml:space="preserve">ll. Observe what happens to the </w:t>
      </w:r>
      <w:r>
        <w:rPr>
          <w:rFonts w:ascii="ArialMT" w:hAnsi="ArialMT" w:cs="ArialMT"/>
          <w:sz w:val="24"/>
          <w:szCs w:val="24"/>
        </w:rPr>
        <w:t>shape and size of the cell.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Record your observations in the Table.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Move the cell to a different beaker or choose a different cell.</w:t>
      </w:r>
      <w:r>
        <w:rPr>
          <w:rFonts w:ascii="ArialMT" w:hAnsi="ArialMT" w:cs="ArialMT"/>
          <w:sz w:val="24"/>
          <w:szCs w:val="24"/>
        </w:rPr>
        <w:t xml:space="preserve"> Observe the process of osmosis </w:t>
      </w:r>
      <w:r>
        <w:rPr>
          <w:rFonts w:ascii="ArialMT" w:hAnsi="ArialMT" w:cs="ArialMT"/>
          <w:sz w:val="24"/>
          <w:szCs w:val="24"/>
        </w:rPr>
        <w:t>again and record your observations in the Table.</w:t>
      </w:r>
    </w:p>
    <w:p w:rsidR="000E0831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Repeat this activity </w:t>
      </w:r>
      <w:r>
        <w:rPr>
          <w:rFonts w:ascii="ArialMT" w:hAnsi="ArialMT" w:cs="ArialMT"/>
          <w:sz w:val="24"/>
          <w:szCs w:val="24"/>
        </w:rPr>
        <w:t>with all three cells and all th</w:t>
      </w:r>
      <w:r>
        <w:rPr>
          <w:rFonts w:ascii="ArialMT" w:hAnsi="ArialMT" w:cs="ArialMT"/>
          <w:sz w:val="24"/>
          <w:szCs w:val="24"/>
        </w:rPr>
        <w:t xml:space="preserve">ree solutions. 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Write your comparisons and</w:t>
      </w:r>
      <w:r>
        <w:rPr>
          <w:rFonts w:ascii="ArialMT" w:hAnsi="ArialMT" w:cs="ArialMT"/>
          <w:sz w:val="24"/>
          <w:szCs w:val="24"/>
        </w:rPr>
        <w:t xml:space="preserve"> your</w:t>
      </w:r>
      <w:r>
        <w:rPr>
          <w:rFonts w:ascii="ArialMT" w:hAnsi="ArialMT" w:cs="ArialMT"/>
          <w:sz w:val="24"/>
          <w:szCs w:val="24"/>
        </w:rPr>
        <w:t xml:space="preserve"> observations.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Answer questions.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Data Table:  </w:t>
      </w:r>
    </w:p>
    <w:p w:rsid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64"/>
        <w:gridCol w:w="1337"/>
        <w:gridCol w:w="1511"/>
        <w:gridCol w:w="1337"/>
        <w:gridCol w:w="1511"/>
        <w:gridCol w:w="1564"/>
        <w:gridCol w:w="1564"/>
      </w:tblGrid>
      <w:tr w:rsidR="00A34061" w:rsidTr="00A34061">
        <w:tc>
          <w:tcPr>
            <w:tcW w:w="1269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Type of Solution</w:t>
            </w: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Red Blood Cell Water movement in/out</w:t>
            </w: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Red Blood Cell Appearance</w:t>
            </w: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Elodea Water movement in/out</w:t>
            </w: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Elodea  Appearance of Cell</w:t>
            </w:r>
          </w:p>
        </w:tc>
        <w:tc>
          <w:tcPr>
            <w:tcW w:w="1453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Paramecium Water movement in/out</w:t>
            </w:r>
          </w:p>
        </w:tc>
        <w:tc>
          <w:tcPr>
            <w:tcW w:w="151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Parameci</w:t>
            </w:r>
            <w:r w:rsidR="00A34061">
              <w:rPr>
                <w:rFonts w:ascii="ArialMT" w:hAnsi="ArialMT" w:cs="ArialMT"/>
                <w:sz w:val="24"/>
                <w:szCs w:val="24"/>
              </w:rPr>
              <w:t>u</w:t>
            </w:r>
            <w:r>
              <w:rPr>
                <w:rFonts w:ascii="ArialMT" w:hAnsi="ArialMT" w:cs="ArialMT"/>
                <w:sz w:val="24"/>
                <w:szCs w:val="24"/>
              </w:rPr>
              <w:t>m</w:t>
            </w:r>
            <w:r w:rsidR="00A34061">
              <w:rPr>
                <w:rFonts w:ascii="ArialMT" w:hAnsi="ArialMT" w:cs="ArialMT"/>
                <w:sz w:val="24"/>
                <w:szCs w:val="24"/>
              </w:rPr>
              <w:t xml:space="preserve"> Appearance of Cell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</w:tr>
      <w:tr w:rsidR="00A34061" w:rsidTr="00A34061">
        <w:tc>
          <w:tcPr>
            <w:tcW w:w="1269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Hypotonic</w:t>
            </w:r>
            <w:r w:rsidR="00A34061">
              <w:rPr>
                <w:rFonts w:ascii="ArialMT" w:hAnsi="ArialMT" w:cs="ArialMT"/>
                <w:sz w:val="24"/>
                <w:szCs w:val="24"/>
              </w:rPr>
              <w:t xml:space="preserve"> Solution</w:t>
            </w: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53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1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A34061" w:rsidTr="00A34061">
        <w:tc>
          <w:tcPr>
            <w:tcW w:w="1269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Isotonic</w:t>
            </w:r>
            <w:r w:rsidR="00A34061">
              <w:rPr>
                <w:rFonts w:ascii="ArialMT" w:hAnsi="ArialMT" w:cs="ArialMT"/>
                <w:sz w:val="24"/>
                <w:szCs w:val="24"/>
              </w:rPr>
              <w:t xml:space="preserve"> Solution</w:t>
            </w: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53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1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A34061" w:rsidTr="00A34061">
        <w:tc>
          <w:tcPr>
            <w:tcW w:w="1269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Hypertonic</w:t>
            </w:r>
            <w:r w:rsidR="00A34061">
              <w:rPr>
                <w:rFonts w:ascii="ArialMT" w:hAnsi="ArialMT" w:cs="ArialMT"/>
                <w:sz w:val="24"/>
                <w:szCs w:val="24"/>
              </w:rPr>
              <w:t xml:space="preserve"> Solution</w:t>
            </w:r>
            <w:bookmarkStart w:id="0" w:name="_GoBack"/>
            <w:bookmarkEnd w:id="0"/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24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04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53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15" w:type="dxa"/>
          </w:tcPr>
          <w:p w:rsidR="00ED38D6" w:rsidRDefault="00ED38D6" w:rsidP="00ED38D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ED38D6" w:rsidRPr="00ED38D6" w:rsidRDefault="00ED38D6" w:rsidP="00ED38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ED38D6" w:rsidRPr="00ED38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3B" w:rsidRDefault="0005343B" w:rsidP="00ED38D6">
      <w:pPr>
        <w:spacing w:after="0" w:line="240" w:lineRule="auto"/>
      </w:pPr>
      <w:r>
        <w:separator/>
      </w:r>
    </w:p>
  </w:endnote>
  <w:endnote w:type="continuationSeparator" w:id="0">
    <w:p w:rsidR="0005343B" w:rsidRDefault="0005343B" w:rsidP="00ED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3B" w:rsidRDefault="0005343B" w:rsidP="00ED38D6">
      <w:pPr>
        <w:spacing w:after="0" w:line="240" w:lineRule="auto"/>
      </w:pPr>
      <w:r>
        <w:separator/>
      </w:r>
    </w:p>
  </w:footnote>
  <w:footnote w:type="continuationSeparator" w:id="0">
    <w:p w:rsidR="0005343B" w:rsidRDefault="0005343B" w:rsidP="00ED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D6" w:rsidRDefault="00ED38D6">
    <w:pPr>
      <w:pStyle w:val="Header"/>
    </w:pPr>
    <w:r>
      <w:t xml:space="preserve">Glencoe Virtual Lab – Transport in Cells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1A6D"/>
    <w:multiLevelType w:val="hybridMultilevel"/>
    <w:tmpl w:val="1BC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D6"/>
    <w:rsid w:val="0005343B"/>
    <w:rsid w:val="000E0831"/>
    <w:rsid w:val="00A34061"/>
    <w:rsid w:val="00E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95FF-0D88-4909-9793-9F5703A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D6"/>
  </w:style>
  <w:style w:type="paragraph" w:styleId="Footer">
    <w:name w:val="footer"/>
    <w:basedOn w:val="Normal"/>
    <w:link w:val="FooterChar"/>
    <w:uiPriority w:val="99"/>
    <w:unhideWhenUsed/>
    <w:rsid w:val="00ED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D6"/>
  </w:style>
  <w:style w:type="table" w:styleId="TableGrid">
    <w:name w:val="Table Grid"/>
    <w:basedOn w:val="TableNormal"/>
    <w:uiPriority w:val="39"/>
    <w:rsid w:val="00ED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2017-04-05T20:20:00Z</dcterms:created>
  <dcterms:modified xsi:type="dcterms:W3CDTF">2017-04-05T20:33:00Z</dcterms:modified>
</cp:coreProperties>
</file>